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F" w:rsidRPr="00AF66AB" w:rsidRDefault="00E57B36" w:rsidP="006F1F8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Андижон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вилояти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Балиқчи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тумани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тиббиёт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бирлашмасининг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1-базаси </w:t>
      </w:r>
      <w:proofErr w:type="spellStart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ҳудудида</w:t>
      </w:r>
      <w:proofErr w:type="spellEnd"/>
      <w:r w:rsidRPr="00E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6872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давлат-хусусий</w:t>
      </w:r>
      <w:proofErr w:type="spellEnd"/>
      <w:r w:rsidR="007A6872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6872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шерикли</w:t>
      </w:r>
      <w:r w:rsidR="007A6872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="007A6872" w:rsidRPr="00E4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87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асосида </w:t>
      </w:r>
      <w:r w:rsidR="000F01C8" w:rsidRPr="000F01C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тибби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диагностика</w:t>
      </w:r>
      <w:r w:rsidR="000F01C8" w:rsidRPr="000F01C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марказини </w:t>
      </w:r>
      <w:proofErr w:type="spellStart"/>
      <w:r w:rsidR="00C94BFF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ташкил</w:t>
      </w:r>
      <w:proofErr w:type="spellEnd"/>
      <w:r w:rsidR="00C94BFF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4BFF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этиш</w:t>
      </w:r>
      <w:proofErr w:type="spellEnd"/>
      <w:r w:rsidR="00C94BFF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4BFF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лойиҳаси</w:t>
      </w:r>
      <w:proofErr w:type="spellEnd"/>
      <w:r w:rsidR="00C94BFF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4BFF" w:rsidRPr="00E972F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юзасидан</w:t>
      </w:r>
      <w:r w:rsidR="00C94BFF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бош</w:t>
      </w:r>
      <w:proofErr w:type="gram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талабгорларга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87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мазкур</w:t>
      </w:r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лойиҳасининг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амалга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оширилишидан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манфаатдорлиги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тўғрисида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маълум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қилиш</w:t>
      </w:r>
      <w:proofErr w:type="spellEnd"/>
      <w:r w:rsidR="00B75067" w:rsidRP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4BFF" w:rsidRPr="00C9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таклиф</w:t>
      </w:r>
      <w:r w:rsidR="00B7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="00AF66A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</w:p>
    <w:p w:rsidR="007A6872" w:rsidRDefault="007A6872" w:rsidP="006F1F8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836E75" w:rsidRDefault="00836E75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Ўзбекистон Республикаси Соғлиқни сақлаш вазирлиги </w:t>
      </w:r>
      <w:r w:rsidR="00D06515" w:rsidRPr="00D0651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AF66AB" w:rsidRPr="00AF66A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E57B36" w:rsidRPr="00E57B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SOF DIL MED</w:t>
      </w:r>
      <w:r w:rsidR="00AF66AB" w:rsidRPr="00AF66A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AF66A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масъулияти чекланган жамияти</w:t>
      </w:r>
      <w:r w:rsidR="00E46C0A" w:rsidRP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томонидан ташаббус қилинган </w:t>
      </w:r>
      <w:bookmarkStart w:id="0" w:name="_GoBack"/>
      <w:r w:rsidR="00E57B36" w:rsidRPr="00E57B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Андижон вилояти Балиқчи тумани тиббиёт бирлашмасининг </w:t>
      </w:r>
      <w:r w:rsidR="00D06515" w:rsidRPr="00D0651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E57B36" w:rsidRPr="00E57B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1-базаси </w:t>
      </w:r>
      <w:bookmarkEnd w:id="0"/>
      <w:r w:rsidR="00E57B36" w:rsidRPr="00E57B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ҳудудида </w:t>
      </w:r>
      <w:r w:rsidR="00E46C0A" w:rsidRP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давлат-хусусий шериклик асосида </w:t>
      </w:r>
      <w:r w:rsidR="00E57B36" w:rsidRPr="00E57B3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тиббий диагностика марказини </w:t>
      </w:r>
      <w:r w:rsidR="00E46C0A" w:rsidRP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ташкил этиш 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лойиҳаси</w:t>
      </w:r>
      <w:r w:rsidR="00730D2C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0D2C"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</w:t>
      </w:r>
      <w:r w:rsidR="00730D2C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кейинги ўринларда -</w:t>
      </w:r>
      <w:r w:rsidR="00F8519C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0D2C"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Лойиҳа)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ни 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амалга оширишни режалаштирмо</w:t>
      </w:r>
      <w:r w:rsidR="00730D2C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да.</w:t>
      </w:r>
    </w:p>
    <w:p w:rsidR="00C94BFF" w:rsidRPr="00C94BFF" w:rsidRDefault="00C94BFF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 Республикаси</w:t>
      </w:r>
      <w:r w:rsidR="00A82622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B3B11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Соғлиқни сақлаш вазирлиги 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барча манфаатдор томонларни Лойиҳа</w:t>
      </w:r>
      <w:r w:rsidR="00B75067" w:rsidRPr="00B750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нинг амалга оширилишидан манфаатдорлиги тўғрисида маълум қилиш таклифи</w:t>
      </w:r>
      <w:r w:rsidR="00B750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тақдим этишларини сўрайди. </w:t>
      </w:r>
      <w:r w:rsidR="00B7506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Хусусий шерик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мамлакатдаги ўсиб бораётган бозордан манфаат кўради ҳамда мамлакатда амалга ошириладиган </w:t>
      </w:r>
      <w:r w:rsidR="00B75067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давлат-хусусий шериклик </w:t>
      </w:r>
      <w:r w:rsidRPr="00C94BF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лойиҳаларидан бирида иштирок этиш имкониятига эга бўлади.</w:t>
      </w:r>
    </w:p>
    <w:p w:rsidR="00A82622" w:rsidRPr="00C94BFF" w:rsidRDefault="00A82622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z-Cyrl-UZ" w:eastAsia="ru-RU"/>
        </w:rPr>
      </w:pP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Лойиҳа</w:t>
      </w:r>
      <w:r w:rsidR="00F8519C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юзасидан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хусусий шерикни танлаш Ўзбекистон Республикасининг “Давлат-хусусий шериклик тўғрисида”ги Қонуни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32145"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 Республикаси</w:t>
      </w:r>
      <w:r w:rsidR="0023214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Президентининг 2019 йил 16 апрелдаги 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="0023214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ПҚ-4290-сон </w:t>
      </w:r>
      <w:r w:rsidR="00673DE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</w:t>
      </w:r>
      <w:r w:rsidR="00E46C0A" w:rsidRP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оғлиқни сақлаш соҳасида давлат-хусусий шерикликни ривожлантириш чора-тадбирлари тўғрисида</w:t>
      </w:r>
      <w:r w:rsidR="00673DE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ги қарори ҳамда Ўзбекистон Республикаси Вазирлар Маҳкамасининг 2020 йил 26 апрелдаги 259-сон “Д</w:t>
      </w:r>
      <w:r w:rsidR="00E46C0A" w:rsidRP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авлат-хусусий шериклик лойиҳаларини амалга ошириш тартибини такомиллаштириш тўғрисида</w:t>
      </w:r>
      <w:r w:rsidR="00E46C0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”ги қарори</w:t>
      </w:r>
      <w:r w:rsidR="00E46C0A" w:rsidRPr="00673DE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талабларига </w:t>
      </w:r>
      <w:r w:rsidR="001411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биноа</w:t>
      </w:r>
      <w:r w:rsidRPr="00E972F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 амалга оширилади.</w:t>
      </w:r>
    </w:p>
    <w:p w:rsidR="00C94BFF" w:rsidRPr="00A73F3E" w:rsidRDefault="001C4B51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К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омпаниялар Лойиҳа</w:t>
      </w:r>
      <w:r w:rsidR="00B75067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нинг амалга оширилишидан манфаатдорлиги тўғрисида маълум қилиш таклифи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ни тақдим этишлари сўралади. </w:t>
      </w:r>
      <w:r w:rsidR="00B75067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Лойиҳанинг амалга оширилишидан манфаатдорлиги тўғрисида маълум қилиш таклифи 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кўрсатиладиган </w:t>
      </w:r>
      <w:r w:rsidR="005014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тиббий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хизмат</w:t>
      </w:r>
      <w:r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лар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нинг қисқача тавсифи билан </w:t>
      </w:r>
      <w:r w:rsidR="00B75067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иловадаги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жадвални тўлдирилган ҳолда </w:t>
      </w:r>
      <w:r w:rsidR="00C94BF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20</w:t>
      </w:r>
      <w:r w:rsidR="00A82622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2</w:t>
      </w:r>
      <w:r w:rsidR="00642321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</w:t>
      </w:r>
      <w:r w:rsidR="00C94BF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йил</w:t>
      </w:r>
      <w:r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нинг</w:t>
      </w:r>
      <w:r w:rsidR="00C94BF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890B0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11</w:t>
      </w:r>
      <w:r w:rsidR="00C94BF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0F01C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июл</w:t>
      </w:r>
      <w:r w:rsidR="009B722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</w:t>
      </w:r>
      <w:r w:rsidR="00C94BFF"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га</w:t>
      </w:r>
      <w:r w:rsidRPr="00A73F3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қадар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қуйидаги </w:t>
      </w:r>
      <w:r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электрон почта 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манзил</w:t>
      </w:r>
      <w:r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и</w:t>
      </w:r>
      <w:r w:rsidR="00C94BFF" w:rsidRPr="00A73F3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га юборилиши лозим.</w:t>
      </w:r>
    </w:p>
    <w:p w:rsidR="00B75067" w:rsidRDefault="00B75067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AF66AB" w:rsidRPr="00C94BFF" w:rsidRDefault="00AF66AB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tbl>
      <w:tblPr>
        <w:tblW w:w="8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4663E4" w:rsidRPr="00E972F4" w:rsidTr="004663E4">
        <w:tc>
          <w:tcPr>
            <w:tcW w:w="8110" w:type="dxa"/>
            <w:tcBorders>
              <w:top w:val="single" w:sz="6" w:space="0" w:color="EAEADE"/>
              <w:left w:val="single" w:sz="6" w:space="0" w:color="EAEADE"/>
              <w:bottom w:val="single" w:sz="6" w:space="0" w:color="EAEADE"/>
              <w:right w:val="single" w:sz="6" w:space="0" w:color="EAEAD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3E4" w:rsidRPr="00C94BFF" w:rsidRDefault="004663E4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Ўз</w:t>
            </w:r>
            <w:proofErr w:type="spellEnd"/>
            <w:r w:rsidR="00A82622"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 xml:space="preserve">бекистон </w:t>
            </w:r>
            <w:proofErr w:type="spellStart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</w:t>
            </w:r>
            <w:proofErr w:type="spellEnd"/>
            <w:r w:rsidR="00A82622"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публикаси</w:t>
            </w:r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Соғликни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сақлаш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вазирлиги</w:t>
            </w:r>
            <w:proofErr w:type="spellEnd"/>
          </w:p>
          <w:p w:rsidR="004663E4" w:rsidRPr="00C94BFF" w:rsidRDefault="004663E4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r w:rsidR="00A82622" w:rsidRPr="00E972F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ектрон</w:t>
            </w:r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622" w:rsidRPr="00E972F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почта </w:t>
            </w:r>
            <w:proofErr w:type="spellStart"/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манзил</w:t>
            </w:r>
            <w:proofErr w:type="spellEnd"/>
            <w:r w:rsidR="00A82622" w:rsidRPr="00E972F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</w:t>
            </w:r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5" w:history="1">
              <w:r w:rsidR="000F01C8" w:rsidRPr="00FB476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info@</w:t>
              </w:r>
              <w:r w:rsidR="000F01C8" w:rsidRPr="00FB476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</w:t>
              </w:r>
              <w:r w:rsidR="000F01C8" w:rsidRPr="00FB476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v.uz</w:t>
              </w:r>
            </w:hyperlink>
          </w:p>
          <w:p w:rsidR="00C94BFF" w:rsidRPr="00C94BFF" w:rsidRDefault="004663E4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рақами</w:t>
            </w:r>
            <w:proofErr w:type="spellEnd"/>
            <w:r w:rsidRPr="00C9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(+71) 239-46-43</w:t>
            </w:r>
          </w:p>
        </w:tc>
      </w:tr>
    </w:tbl>
    <w:p w:rsidR="00C94BFF" w:rsidRDefault="00B75067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1C4B51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lastRenderedPageBreak/>
        <w:t>Қуйидаги ж</w:t>
      </w:r>
      <w:r w:rsidRPr="006F1F8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адвал тўлдирилиши ва Лойиҳанинг амалга оширилишидан манфаатдорлиги тўғрисида маълум қилиш таклифи билан </w:t>
      </w:r>
      <w:r w:rsidRPr="001C4B51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бирга </w:t>
      </w:r>
      <w:r w:rsidRPr="006F1F8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та</w:t>
      </w:r>
      <w:r w:rsidRPr="001C4B51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қ</w:t>
      </w:r>
      <w:r w:rsidRPr="006F1F8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дим этилиши керак:</w:t>
      </w:r>
    </w:p>
    <w:p w:rsidR="006F1F82" w:rsidRPr="006F1F82" w:rsidRDefault="006F1F82" w:rsidP="006F1F8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1065"/>
        <w:gridCol w:w="1179"/>
      </w:tblGrid>
      <w:tr w:rsidR="001C4B51" w:rsidRPr="001C4B51" w:rsidTr="00EB6D6B">
        <w:trPr>
          <w:trHeight w:val="1162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232145" w:rsidRDefault="00B75067" w:rsidP="00232145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К</w:t>
            </w:r>
            <w:r w:rsidR="00C94BFF" w:rsidRP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омпаниянгиз </w:t>
            </w:r>
            <w:r w:rsidR="0050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тиббий</w:t>
            </w:r>
            <w:r w:rsidR="00C94BFF" w:rsidRP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 хизматлар кўрсатадиган </w:t>
            </w:r>
            <w:r w:rsid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ҳудудлар</w:t>
            </w:r>
            <w:r w:rsidR="00C94BFF" w:rsidRP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ни санаб ўтинг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2321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</w:t>
            </w:r>
            <w:r w:rsid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ҳудуд</w:t>
            </w: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2321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</w:t>
            </w:r>
            <w:r w:rsidR="0023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ҳудуд</w:t>
            </w: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1C4B51" w:rsidRPr="001C4B51" w:rsidTr="00EB6D6B">
        <w:trPr>
          <w:trHeight w:val="1162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5014FF" w:rsidP="005014FF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Тиббий</w:t>
            </w:r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хизматлар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кўрсатилиши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бошланган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сана.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Давлат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ёки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хусусий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мижозларга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хизмат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кўрсатиладими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51" w:rsidRPr="001C4B51" w:rsidTr="00EB6D6B">
        <w:trPr>
          <w:trHeight w:val="1162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1C4B51" w:rsidP="005014FF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Б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йилда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мижозларга кўрсатилган </w:t>
            </w:r>
            <w:r w:rsidR="0050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тиббий</w:t>
            </w:r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хизматлар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нинг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ўртача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сонини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и</w:t>
            </w:r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и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тинг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(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сўнгги</w:t>
            </w:r>
            <w:proofErr w:type="spellEnd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2622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икки</w:t>
            </w:r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йил</w:t>
            </w:r>
            <w:proofErr w:type="spellEnd"/>
            <w:r w:rsidR="00A82622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="00C94BFF"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 маълумотларни)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F82" w:rsidRPr="001C4B51" w:rsidTr="00EB6D6B">
        <w:trPr>
          <w:trHeight w:val="916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1F82" w:rsidRPr="001C4B51" w:rsidRDefault="006F1F82" w:rsidP="005014FF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Барча бўлимлардаги тўлиқ иш кунида ишлаётган врачлар сони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1F82" w:rsidRPr="00C94BFF" w:rsidRDefault="006F1F82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1F82" w:rsidRPr="00C94BFF" w:rsidRDefault="006F1F82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51" w:rsidRPr="001C4B51" w:rsidTr="00EB6D6B">
        <w:trPr>
          <w:trHeight w:val="1162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1C2713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C2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9</w:t>
            </w: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1C2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йиллар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учун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тиббий</w:t>
            </w:r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хизматлар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кўрсатишдан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тушган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умумий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даромад</w:t>
            </w:r>
            <w:proofErr w:type="spellEnd"/>
            <w:r w:rsidRPr="001C4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BFF" w:rsidRPr="00C94BFF" w:rsidRDefault="00C94BFF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67" w:rsidRPr="001C4B51" w:rsidTr="00EB6D6B">
        <w:trPr>
          <w:trHeight w:val="395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5067" w:rsidRPr="006F1F82" w:rsidRDefault="006F1F82" w:rsidP="006F1F82">
            <w:pPr>
              <w:spacing w:before="120" w:after="120" w:line="240" w:lineRule="auto"/>
              <w:ind w:left="142" w:right="1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Компания активларининг соф қиймати*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5067" w:rsidRPr="00C94BFF" w:rsidRDefault="00B75067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5067" w:rsidRPr="00C94BFF" w:rsidRDefault="00B75067" w:rsidP="006F1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34D" w:rsidRPr="006F1F82" w:rsidRDefault="006F1F82" w:rsidP="0078617B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lang w:val="uz-Cyrl-UZ"/>
        </w:rPr>
      </w:pPr>
      <w:r w:rsidRPr="006F1F82">
        <w:rPr>
          <w:rFonts w:ascii="Times New Roman" w:hAnsi="Times New Roman" w:cs="Times New Roman"/>
          <w:i/>
          <w:sz w:val="28"/>
          <w:lang w:val="uz-Cyrl-UZ"/>
        </w:rPr>
        <w:t>*</w:t>
      </w:r>
      <w:r w:rsidRPr="006F1F82">
        <w:rPr>
          <w:i/>
          <w:sz w:val="28"/>
          <w:lang w:val="uz-Cyrl-UZ"/>
        </w:rPr>
        <w:t xml:space="preserve"> </w:t>
      </w:r>
      <w:r w:rsidRPr="006F1F82">
        <w:rPr>
          <w:rFonts w:ascii="Times New Roman" w:hAnsi="Times New Roman" w:cs="Times New Roman"/>
          <w:i/>
          <w:sz w:val="28"/>
          <w:lang w:val="uz-Cyrl-UZ"/>
        </w:rPr>
        <w:t>Активларнинг соф қиймати қуйидагича ҳисобланади – сотиб олиниши учун ариза берилган ва сотиб олинган акциядорлик капитали қўшув заҳиралар, айирув қайта баҳолаш учун заҳиралар қўшув бошқа кўзда тутилмаган ва ҳисобдан чиқарилмаган харажатлар қўшув иштирокчилар/акциядорлар ўртасида тақсимланмайдиган заҳиралар.</w:t>
      </w:r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3F"/>
    <w:rsid w:val="000F01C8"/>
    <w:rsid w:val="00121889"/>
    <w:rsid w:val="0014112E"/>
    <w:rsid w:val="001C2713"/>
    <w:rsid w:val="001C4B51"/>
    <w:rsid w:val="00232145"/>
    <w:rsid w:val="00422132"/>
    <w:rsid w:val="004663E4"/>
    <w:rsid w:val="00476FAD"/>
    <w:rsid w:val="004C1A1F"/>
    <w:rsid w:val="005014FF"/>
    <w:rsid w:val="0064124B"/>
    <w:rsid w:val="00642321"/>
    <w:rsid w:val="00644078"/>
    <w:rsid w:val="00673DEF"/>
    <w:rsid w:val="006F1F82"/>
    <w:rsid w:val="006F7752"/>
    <w:rsid w:val="00730D2C"/>
    <w:rsid w:val="00755049"/>
    <w:rsid w:val="00761127"/>
    <w:rsid w:val="0078617B"/>
    <w:rsid w:val="007A6872"/>
    <w:rsid w:val="007E45FE"/>
    <w:rsid w:val="00836E75"/>
    <w:rsid w:val="00890B00"/>
    <w:rsid w:val="008C4F2A"/>
    <w:rsid w:val="009B722F"/>
    <w:rsid w:val="00A73F3E"/>
    <w:rsid w:val="00A82622"/>
    <w:rsid w:val="00AB3B11"/>
    <w:rsid w:val="00AE0335"/>
    <w:rsid w:val="00AF5BD5"/>
    <w:rsid w:val="00AF66AB"/>
    <w:rsid w:val="00B4334D"/>
    <w:rsid w:val="00B75067"/>
    <w:rsid w:val="00BC1C0F"/>
    <w:rsid w:val="00C00B18"/>
    <w:rsid w:val="00C6590C"/>
    <w:rsid w:val="00C73FA5"/>
    <w:rsid w:val="00C94BFF"/>
    <w:rsid w:val="00D06515"/>
    <w:rsid w:val="00D32BD8"/>
    <w:rsid w:val="00D73E3F"/>
    <w:rsid w:val="00E46C0A"/>
    <w:rsid w:val="00E57B36"/>
    <w:rsid w:val="00E972F4"/>
    <w:rsid w:val="00EB6D6B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sv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Зоиржон Р. Мингбаев</cp:lastModifiedBy>
  <cp:revision>46</cp:revision>
  <cp:lastPrinted>2020-07-22T07:39:00Z</cp:lastPrinted>
  <dcterms:created xsi:type="dcterms:W3CDTF">2020-07-06T06:17:00Z</dcterms:created>
  <dcterms:modified xsi:type="dcterms:W3CDTF">2021-05-26T19:34:00Z</dcterms:modified>
</cp:coreProperties>
</file>