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8C" w:rsidRPr="00017C0D" w:rsidRDefault="00A7635D" w:rsidP="008F548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Методы ф</w:t>
      </w:r>
      <w:r w:rsidR="008F548C" w:rsidRPr="00017C0D">
        <w:rPr>
          <w:rFonts w:ascii="Arial" w:hAnsi="Arial" w:cs="Arial"/>
          <w:b/>
          <w:sz w:val="28"/>
        </w:rPr>
        <w:t>инансировани</w:t>
      </w:r>
      <w:r>
        <w:rPr>
          <w:rFonts w:ascii="Arial" w:hAnsi="Arial" w:cs="Arial"/>
          <w:b/>
          <w:sz w:val="28"/>
        </w:rPr>
        <w:t>я</w:t>
      </w:r>
      <w:bookmarkStart w:id="0" w:name="_GoBack"/>
      <w:bookmarkEnd w:id="0"/>
      <w:r w:rsidR="008F548C" w:rsidRPr="00017C0D">
        <w:rPr>
          <w:rFonts w:ascii="Arial" w:hAnsi="Arial" w:cs="Arial"/>
          <w:b/>
          <w:sz w:val="28"/>
        </w:rPr>
        <w:t xml:space="preserve"> инвестиционных проектов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Вопрос о привлечении ресурсов, необходимых для реализации инвестиционных проектов и программ, занимает важное место в планировании инвестиционной деятельности предприятия. Этот аспект планирования подчинен следующим целям: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1) обеспечение бесперебойного финансирования инвестиционной деятельности;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2) наиболее эффективное использование собственных сре</w:t>
      </w:r>
      <w:proofErr w:type="gramStart"/>
      <w:r w:rsidRPr="00017C0D">
        <w:rPr>
          <w:rFonts w:ascii="Arial" w:hAnsi="Arial" w:cs="Arial"/>
          <w:sz w:val="28"/>
          <w:szCs w:val="28"/>
        </w:rPr>
        <w:t>дств пр</w:t>
      </w:r>
      <w:proofErr w:type="gramEnd"/>
      <w:r w:rsidRPr="00017C0D">
        <w:rPr>
          <w:rFonts w:ascii="Arial" w:hAnsi="Arial" w:cs="Arial"/>
          <w:sz w:val="28"/>
          <w:szCs w:val="28"/>
        </w:rPr>
        <w:t>едприятия;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3) повышение экономической эффективности проектов;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 xml:space="preserve">4) обеспечение финансовой </w:t>
      </w:r>
      <w:proofErr w:type="gramStart"/>
      <w:r w:rsidRPr="00017C0D">
        <w:rPr>
          <w:rFonts w:ascii="Arial" w:hAnsi="Arial" w:cs="Arial"/>
          <w:sz w:val="28"/>
          <w:szCs w:val="28"/>
        </w:rPr>
        <w:t>устойчивости</w:t>
      </w:r>
      <w:proofErr w:type="gramEnd"/>
      <w:r w:rsidRPr="00017C0D">
        <w:rPr>
          <w:rFonts w:ascii="Arial" w:hAnsi="Arial" w:cs="Arial"/>
          <w:sz w:val="28"/>
          <w:szCs w:val="28"/>
        </w:rPr>
        <w:t xml:space="preserve"> как отдельных проектов, так и действующего предприятия.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 xml:space="preserve">Проблему привлечения капитала следует </w:t>
      </w:r>
      <w:r w:rsidRPr="00017C0D">
        <w:rPr>
          <w:rFonts w:ascii="Arial" w:hAnsi="Arial" w:cs="Arial"/>
          <w:sz w:val="28"/>
          <w:szCs w:val="28"/>
        </w:rPr>
        <w:t>рассматривать</w:t>
      </w:r>
      <w:r w:rsidRPr="00017C0D">
        <w:rPr>
          <w:rFonts w:ascii="Arial" w:hAnsi="Arial" w:cs="Arial"/>
          <w:sz w:val="28"/>
          <w:szCs w:val="28"/>
        </w:rPr>
        <w:t xml:space="preserve"> по двум взаимосвязанным направлениям — источникам и методам финансирования.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Источниками долгосрочного финансирования инвестиций предприятия в свои активы являются: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1) внутренние средства — амортизация, прибыль, средства от реализации излишних активов;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2) внешние по отношению к предприятию средства</w:t>
      </w:r>
      <w:r w:rsidR="00A0411A" w:rsidRPr="00017C0D">
        <w:rPr>
          <w:rFonts w:ascii="Arial" w:hAnsi="Arial" w:cs="Arial"/>
          <w:sz w:val="28"/>
          <w:szCs w:val="28"/>
        </w:rPr>
        <w:t xml:space="preserve">, которые состоят </w:t>
      </w:r>
      <w:proofErr w:type="gramStart"/>
      <w:r w:rsidR="00A0411A" w:rsidRPr="00017C0D">
        <w:rPr>
          <w:rFonts w:ascii="Arial" w:hAnsi="Arial" w:cs="Arial"/>
          <w:sz w:val="28"/>
          <w:szCs w:val="28"/>
        </w:rPr>
        <w:t>из</w:t>
      </w:r>
      <w:proofErr w:type="gramEnd"/>
      <w:r w:rsidRPr="00017C0D">
        <w:rPr>
          <w:rFonts w:ascii="Arial" w:hAnsi="Arial" w:cs="Arial"/>
          <w:sz w:val="28"/>
          <w:szCs w:val="28"/>
        </w:rPr>
        <w:t>:</w:t>
      </w:r>
    </w:p>
    <w:p w:rsidR="00D156C4" w:rsidRPr="00017C0D" w:rsidRDefault="00A0411A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-</w:t>
      </w:r>
      <w:r w:rsidR="00D156C4" w:rsidRPr="00017C0D">
        <w:rPr>
          <w:rFonts w:ascii="Arial" w:hAnsi="Arial" w:cs="Arial"/>
          <w:sz w:val="28"/>
          <w:szCs w:val="28"/>
        </w:rPr>
        <w:t xml:space="preserve"> заемные</w:t>
      </w:r>
      <w:r w:rsidR="00017C0D" w:rsidRPr="00017C0D">
        <w:rPr>
          <w:rFonts w:ascii="Arial" w:hAnsi="Arial" w:cs="Arial"/>
          <w:sz w:val="28"/>
          <w:szCs w:val="28"/>
        </w:rPr>
        <w:t xml:space="preserve"> — долгосрочные кредиты банков;</w:t>
      </w:r>
    </w:p>
    <w:p w:rsidR="00D156C4" w:rsidRPr="00017C0D" w:rsidRDefault="00A0411A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-</w:t>
      </w:r>
      <w:r w:rsidR="00D156C4" w:rsidRPr="00017C0D">
        <w:rPr>
          <w:rFonts w:ascii="Arial" w:hAnsi="Arial" w:cs="Arial"/>
          <w:sz w:val="28"/>
          <w:szCs w:val="28"/>
        </w:rPr>
        <w:t xml:space="preserve"> привлеченные средства — эмиссия акций, </w:t>
      </w:r>
      <w:r w:rsidR="00017C0D" w:rsidRPr="00017C0D">
        <w:rPr>
          <w:rFonts w:ascii="Arial" w:hAnsi="Arial" w:cs="Arial"/>
          <w:sz w:val="28"/>
          <w:szCs w:val="28"/>
        </w:rPr>
        <w:t xml:space="preserve">дополнительные вклады учредителей, </w:t>
      </w:r>
      <w:r w:rsidR="00D156C4" w:rsidRPr="00017C0D">
        <w:rPr>
          <w:rFonts w:ascii="Arial" w:hAnsi="Arial" w:cs="Arial"/>
          <w:sz w:val="28"/>
          <w:szCs w:val="28"/>
        </w:rPr>
        <w:t xml:space="preserve">взносы сторонних </w:t>
      </w:r>
      <w:r w:rsidRPr="00017C0D">
        <w:rPr>
          <w:rFonts w:ascii="Arial" w:hAnsi="Arial" w:cs="Arial"/>
          <w:sz w:val="28"/>
          <w:szCs w:val="28"/>
        </w:rPr>
        <w:t xml:space="preserve">узбекских </w:t>
      </w:r>
      <w:r w:rsidR="00D156C4" w:rsidRPr="00017C0D">
        <w:rPr>
          <w:rFonts w:ascii="Arial" w:hAnsi="Arial" w:cs="Arial"/>
          <w:sz w:val="28"/>
          <w:szCs w:val="28"/>
        </w:rPr>
        <w:t>и</w:t>
      </w:r>
      <w:r w:rsidRPr="00017C0D">
        <w:rPr>
          <w:rFonts w:ascii="Arial" w:hAnsi="Arial" w:cs="Arial"/>
          <w:sz w:val="28"/>
          <w:szCs w:val="28"/>
        </w:rPr>
        <w:t>ли</w:t>
      </w:r>
      <w:r w:rsidR="00D156C4" w:rsidRPr="00017C0D">
        <w:rPr>
          <w:rFonts w:ascii="Arial" w:hAnsi="Arial" w:cs="Arial"/>
          <w:sz w:val="28"/>
          <w:szCs w:val="28"/>
        </w:rPr>
        <w:t xml:space="preserve"> </w:t>
      </w:r>
      <w:r w:rsidRPr="00017C0D">
        <w:rPr>
          <w:rFonts w:ascii="Arial" w:hAnsi="Arial" w:cs="Arial"/>
          <w:sz w:val="28"/>
          <w:szCs w:val="28"/>
        </w:rPr>
        <w:t>иностранных</w:t>
      </w:r>
      <w:r w:rsidR="00D156C4" w:rsidRPr="00017C0D">
        <w:rPr>
          <w:rFonts w:ascii="Arial" w:hAnsi="Arial" w:cs="Arial"/>
          <w:sz w:val="28"/>
          <w:szCs w:val="28"/>
        </w:rPr>
        <w:t xml:space="preserve"> инвесторов в уставный фонд.</w:t>
      </w:r>
    </w:p>
    <w:p w:rsidR="00A0411A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Принцип</w:t>
      </w:r>
      <w:r w:rsidR="00A0411A" w:rsidRPr="00017C0D">
        <w:rPr>
          <w:rFonts w:ascii="Arial" w:hAnsi="Arial" w:cs="Arial"/>
          <w:sz w:val="28"/>
          <w:szCs w:val="28"/>
        </w:rPr>
        <w:t>ами</w:t>
      </w:r>
      <w:r w:rsidRPr="00017C0D">
        <w:rPr>
          <w:rFonts w:ascii="Arial" w:hAnsi="Arial" w:cs="Arial"/>
          <w:sz w:val="28"/>
          <w:szCs w:val="28"/>
        </w:rPr>
        <w:t xml:space="preserve"> такого разделения </w:t>
      </w:r>
      <w:r w:rsidR="00A0411A" w:rsidRPr="00017C0D">
        <w:rPr>
          <w:rFonts w:ascii="Arial" w:hAnsi="Arial" w:cs="Arial"/>
          <w:sz w:val="28"/>
          <w:szCs w:val="28"/>
        </w:rPr>
        <w:t>являются</w:t>
      </w:r>
      <w:r w:rsidRPr="00017C0D">
        <w:rPr>
          <w:rFonts w:ascii="Arial" w:hAnsi="Arial" w:cs="Arial"/>
          <w:sz w:val="28"/>
          <w:szCs w:val="28"/>
        </w:rPr>
        <w:t xml:space="preserve">: </w:t>
      </w:r>
    </w:p>
    <w:p w:rsidR="00A0411A" w:rsidRPr="00017C0D" w:rsidRDefault="00A0411A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 xml:space="preserve">- </w:t>
      </w:r>
      <w:r w:rsidR="00D156C4" w:rsidRPr="00017C0D">
        <w:rPr>
          <w:rFonts w:ascii="Arial" w:hAnsi="Arial" w:cs="Arial"/>
          <w:sz w:val="28"/>
          <w:szCs w:val="28"/>
        </w:rPr>
        <w:t>обязательств</w:t>
      </w:r>
      <w:r w:rsidRPr="00017C0D">
        <w:rPr>
          <w:rFonts w:ascii="Arial" w:hAnsi="Arial" w:cs="Arial"/>
          <w:sz w:val="28"/>
          <w:szCs w:val="28"/>
        </w:rPr>
        <w:t>о о возврате</w:t>
      </w:r>
      <w:r w:rsidR="00D156C4" w:rsidRPr="00017C0D">
        <w:rPr>
          <w:rFonts w:ascii="Arial" w:hAnsi="Arial" w:cs="Arial"/>
          <w:sz w:val="28"/>
          <w:szCs w:val="28"/>
        </w:rPr>
        <w:t xml:space="preserve"> заемны</w:t>
      </w:r>
      <w:r w:rsidRPr="00017C0D">
        <w:rPr>
          <w:rFonts w:ascii="Arial" w:hAnsi="Arial" w:cs="Arial"/>
          <w:sz w:val="28"/>
          <w:szCs w:val="28"/>
        </w:rPr>
        <w:t>х</w:t>
      </w:r>
      <w:r w:rsidR="00D156C4" w:rsidRPr="00017C0D">
        <w:rPr>
          <w:rFonts w:ascii="Arial" w:hAnsi="Arial" w:cs="Arial"/>
          <w:sz w:val="28"/>
          <w:szCs w:val="28"/>
        </w:rPr>
        <w:t xml:space="preserve"> средств</w:t>
      </w:r>
      <w:r w:rsidRPr="00017C0D">
        <w:rPr>
          <w:rFonts w:ascii="Arial" w:hAnsi="Arial" w:cs="Arial"/>
          <w:sz w:val="28"/>
          <w:szCs w:val="28"/>
        </w:rPr>
        <w:t xml:space="preserve"> вне зависимости</w:t>
      </w:r>
      <w:r w:rsidR="00D156C4" w:rsidRPr="00017C0D">
        <w:rPr>
          <w:rFonts w:ascii="Arial" w:hAnsi="Arial" w:cs="Arial"/>
          <w:sz w:val="28"/>
          <w:szCs w:val="28"/>
        </w:rPr>
        <w:t xml:space="preserve"> от результатов предпринимательской деятельности</w:t>
      </w:r>
      <w:r w:rsidRPr="00017C0D">
        <w:rPr>
          <w:rFonts w:ascii="Arial" w:hAnsi="Arial" w:cs="Arial"/>
          <w:sz w:val="28"/>
          <w:szCs w:val="28"/>
        </w:rPr>
        <w:t>;</w:t>
      </w:r>
    </w:p>
    <w:p w:rsidR="00D156C4" w:rsidRPr="00017C0D" w:rsidRDefault="00A0411A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 xml:space="preserve">- выплата дивидендов по привлеченным </w:t>
      </w:r>
      <w:r w:rsidR="00D156C4" w:rsidRPr="00017C0D">
        <w:rPr>
          <w:rFonts w:ascii="Arial" w:hAnsi="Arial" w:cs="Arial"/>
          <w:sz w:val="28"/>
          <w:szCs w:val="28"/>
        </w:rPr>
        <w:t>средства</w:t>
      </w:r>
      <w:r w:rsidRPr="00017C0D">
        <w:rPr>
          <w:rFonts w:ascii="Arial" w:hAnsi="Arial" w:cs="Arial"/>
          <w:sz w:val="28"/>
          <w:szCs w:val="28"/>
        </w:rPr>
        <w:t>м</w:t>
      </w:r>
      <w:r w:rsidR="00D156C4" w:rsidRPr="00017C0D">
        <w:rPr>
          <w:rFonts w:ascii="Arial" w:hAnsi="Arial" w:cs="Arial"/>
          <w:sz w:val="28"/>
          <w:szCs w:val="28"/>
        </w:rPr>
        <w:t>.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Инициатор проекта в самом начале его разработки, как правило, уже располагает определенными собственными средствами. Современная практика такова, что при решении вопроса о поддержке того или иного проекта коммерческие банки</w:t>
      </w:r>
      <w:r w:rsidR="00A0411A" w:rsidRPr="00017C0D">
        <w:rPr>
          <w:rFonts w:ascii="Arial" w:hAnsi="Arial" w:cs="Arial"/>
          <w:sz w:val="28"/>
          <w:szCs w:val="28"/>
        </w:rPr>
        <w:t xml:space="preserve"> </w:t>
      </w:r>
      <w:r w:rsidRPr="00017C0D">
        <w:rPr>
          <w:rFonts w:ascii="Arial" w:hAnsi="Arial" w:cs="Arial"/>
          <w:sz w:val="28"/>
          <w:szCs w:val="28"/>
        </w:rPr>
        <w:t xml:space="preserve">в качестве непременного условия определяют минимальный размер (долю) </w:t>
      </w:r>
      <w:r w:rsidR="00A0411A" w:rsidRPr="00017C0D">
        <w:rPr>
          <w:rFonts w:ascii="Arial" w:hAnsi="Arial" w:cs="Arial"/>
          <w:sz w:val="28"/>
          <w:szCs w:val="28"/>
        </w:rPr>
        <w:t xml:space="preserve">собственных </w:t>
      </w:r>
      <w:r w:rsidRPr="00017C0D">
        <w:rPr>
          <w:rFonts w:ascii="Arial" w:hAnsi="Arial" w:cs="Arial"/>
          <w:sz w:val="28"/>
          <w:szCs w:val="28"/>
        </w:rPr>
        <w:t>средств. В последующем, при переходе проекта</w:t>
      </w:r>
      <w:r w:rsidR="00A0411A" w:rsidRPr="00017C0D">
        <w:rPr>
          <w:rFonts w:ascii="Arial" w:hAnsi="Arial" w:cs="Arial"/>
          <w:sz w:val="28"/>
          <w:szCs w:val="28"/>
        </w:rPr>
        <w:t xml:space="preserve"> </w:t>
      </w:r>
      <w:r w:rsidRPr="00017C0D">
        <w:rPr>
          <w:rFonts w:ascii="Arial" w:hAnsi="Arial" w:cs="Arial"/>
          <w:sz w:val="28"/>
          <w:szCs w:val="28"/>
        </w:rPr>
        <w:t xml:space="preserve">из инвестиционной фазы в </w:t>
      </w:r>
      <w:proofErr w:type="gramStart"/>
      <w:r w:rsidRPr="00017C0D">
        <w:rPr>
          <w:rFonts w:ascii="Arial" w:hAnsi="Arial" w:cs="Arial"/>
          <w:sz w:val="28"/>
          <w:szCs w:val="28"/>
        </w:rPr>
        <w:t>эксплуатационную</w:t>
      </w:r>
      <w:proofErr w:type="gramEnd"/>
      <w:r w:rsidRPr="00017C0D">
        <w:rPr>
          <w:rFonts w:ascii="Arial" w:hAnsi="Arial" w:cs="Arial"/>
          <w:sz w:val="28"/>
          <w:szCs w:val="28"/>
        </w:rPr>
        <w:t xml:space="preserve">, сам объект инвестирования генерирует источники финансовых ресурсов, которые могут быть рефинансированы в его </w:t>
      </w:r>
      <w:r w:rsidRPr="00017C0D">
        <w:rPr>
          <w:rFonts w:ascii="Arial" w:hAnsi="Arial" w:cs="Arial"/>
          <w:sz w:val="28"/>
          <w:szCs w:val="28"/>
        </w:rPr>
        <w:lastRenderedPageBreak/>
        <w:t>дальнейшее развитие. Собственные источники наиболее важны для фирмы.</w:t>
      </w:r>
    </w:p>
    <w:p w:rsidR="00A0411A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 xml:space="preserve">Потребность во внешнем финансировании сильнее всего ощущается на стадиях строительства и освоения проектных мощностей. Определение необходимого объема привлекаемых внешних финансовых ресурсов в методическом плане наиболее удачно решается в ходе проработки различных вариантов инвестиционно-финансового бюджета. </w:t>
      </w:r>
    </w:p>
    <w:p w:rsidR="00B71A72" w:rsidRPr="00017C0D" w:rsidRDefault="00B71A72" w:rsidP="00B71A72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 xml:space="preserve">Метод финансирования инвестиционного проекта является способом привлечения инвестиционных ресурсов в предприятие </w:t>
      </w:r>
      <w:proofErr w:type="gramStart"/>
      <w:r w:rsidRPr="00017C0D">
        <w:rPr>
          <w:rFonts w:ascii="Arial" w:hAnsi="Arial" w:cs="Arial"/>
          <w:sz w:val="28"/>
          <w:szCs w:val="28"/>
        </w:rPr>
        <w:t>для</w:t>
      </w:r>
      <w:proofErr w:type="gramEnd"/>
      <w:r w:rsidRPr="00017C0D">
        <w:rPr>
          <w:rFonts w:ascii="Arial" w:hAnsi="Arial" w:cs="Arial"/>
          <w:sz w:val="28"/>
          <w:szCs w:val="28"/>
        </w:rPr>
        <w:t xml:space="preserve"> обеспечения финансовой реализуемости проекта.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Выделяются следующие основные методы финансирования инвестиций: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1) самофинансирование</w:t>
      </w:r>
      <w:r w:rsidR="00B71A72" w:rsidRPr="00017C0D">
        <w:rPr>
          <w:rFonts w:ascii="Arial" w:hAnsi="Arial" w:cs="Arial"/>
          <w:sz w:val="28"/>
          <w:szCs w:val="28"/>
        </w:rPr>
        <w:t xml:space="preserve"> - </w:t>
      </w:r>
      <w:r w:rsidR="00B71A72" w:rsidRPr="00017C0D">
        <w:rPr>
          <w:rFonts w:ascii="Arial" w:hAnsi="Arial" w:cs="Arial"/>
          <w:sz w:val="28"/>
          <w:szCs w:val="28"/>
        </w:rPr>
        <w:t>осуществление инвестирования только за счет собственных средств</w:t>
      </w:r>
      <w:r w:rsidRPr="00017C0D">
        <w:rPr>
          <w:rFonts w:ascii="Arial" w:hAnsi="Arial" w:cs="Arial"/>
          <w:sz w:val="28"/>
          <w:szCs w:val="28"/>
        </w:rPr>
        <w:t>;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 xml:space="preserve">2) </w:t>
      </w:r>
      <w:r w:rsidR="00B71A72" w:rsidRPr="00017C0D">
        <w:rPr>
          <w:rFonts w:ascii="Arial" w:hAnsi="Arial" w:cs="Arial"/>
          <w:sz w:val="28"/>
          <w:szCs w:val="28"/>
        </w:rPr>
        <w:t>д</w:t>
      </w:r>
      <w:r w:rsidR="00B71A72" w:rsidRPr="00017C0D">
        <w:rPr>
          <w:rFonts w:ascii="Arial" w:hAnsi="Arial" w:cs="Arial"/>
          <w:sz w:val="28"/>
          <w:szCs w:val="28"/>
        </w:rPr>
        <w:t>олевое участие</w:t>
      </w:r>
      <w:r w:rsidR="00B71A72" w:rsidRPr="00017C0D">
        <w:rPr>
          <w:rFonts w:ascii="Arial" w:hAnsi="Arial" w:cs="Arial"/>
          <w:sz w:val="28"/>
          <w:szCs w:val="28"/>
        </w:rPr>
        <w:t xml:space="preserve"> - </w:t>
      </w:r>
      <w:r w:rsidR="00B71A72" w:rsidRPr="00017C0D">
        <w:rPr>
          <w:rFonts w:ascii="Arial" w:hAnsi="Arial" w:cs="Arial"/>
          <w:sz w:val="28"/>
          <w:szCs w:val="28"/>
        </w:rPr>
        <w:t>акционирование, паевые и иные взносы в уставный капитал</w:t>
      </w:r>
      <w:r w:rsidRPr="00017C0D">
        <w:rPr>
          <w:rFonts w:ascii="Arial" w:hAnsi="Arial" w:cs="Arial"/>
          <w:sz w:val="28"/>
          <w:szCs w:val="28"/>
        </w:rPr>
        <w:t>;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3) кредитное финансирование</w:t>
      </w:r>
      <w:r w:rsidR="00B71A72" w:rsidRPr="00017C0D">
        <w:rPr>
          <w:rFonts w:ascii="Arial" w:hAnsi="Arial" w:cs="Arial"/>
          <w:sz w:val="28"/>
          <w:szCs w:val="28"/>
        </w:rPr>
        <w:t xml:space="preserve"> - </w:t>
      </w:r>
      <w:r w:rsidR="00B71A72" w:rsidRPr="00017C0D">
        <w:rPr>
          <w:rFonts w:ascii="Arial" w:hAnsi="Arial" w:cs="Arial"/>
          <w:sz w:val="28"/>
          <w:szCs w:val="28"/>
        </w:rPr>
        <w:t>инвестиционные кредиты банков</w:t>
      </w:r>
      <w:r w:rsidRPr="00017C0D">
        <w:rPr>
          <w:rFonts w:ascii="Arial" w:hAnsi="Arial" w:cs="Arial"/>
          <w:sz w:val="28"/>
          <w:szCs w:val="28"/>
        </w:rPr>
        <w:t>;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4) лизинг;</w:t>
      </w:r>
    </w:p>
    <w:p w:rsidR="00D156C4" w:rsidRPr="00017C0D" w:rsidRDefault="00B71A72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5</w:t>
      </w:r>
      <w:r w:rsidR="00D156C4" w:rsidRPr="00017C0D">
        <w:rPr>
          <w:rFonts w:ascii="Arial" w:hAnsi="Arial" w:cs="Arial"/>
          <w:sz w:val="28"/>
          <w:szCs w:val="28"/>
        </w:rPr>
        <w:t>) проектное финансирование</w:t>
      </w:r>
      <w:r w:rsidRPr="00017C0D">
        <w:rPr>
          <w:rFonts w:ascii="Arial" w:hAnsi="Arial" w:cs="Arial"/>
          <w:sz w:val="28"/>
          <w:szCs w:val="28"/>
        </w:rPr>
        <w:t xml:space="preserve"> - </w:t>
      </w:r>
      <w:r w:rsidRPr="00017C0D">
        <w:rPr>
          <w:rFonts w:ascii="Arial" w:hAnsi="Arial" w:cs="Arial"/>
          <w:sz w:val="28"/>
          <w:szCs w:val="28"/>
        </w:rPr>
        <w:t>финансирование, имеющее строго целевой характер использования сре</w:t>
      </w:r>
      <w:proofErr w:type="gramStart"/>
      <w:r w:rsidRPr="00017C0D">
        <w:rPr>
          <w:rFonts w:ascii="Arial" w:hAnsi="Arial" w:cs="Arial"/>
          <w:sz w:val="28"/>
          <w:szCs w:val="28"/>
        </w:rPr>
        <w:t>дств дл</w:t>
      </w:r>
      <w:proofErr w:type="gramEnd"/>
      <w:r w:rsidRPr="00017C0D">
        <w:rPr>
          <w:rFonts w:ascii="Arial" w:hAnsi="Arial" w:cs="Arial"/>
          <w:sz w:val="28"/>
          <w:szCs w:val="28"/>
        </w:rPr>
        <w:t>я нужд реализации инвестиционного проекта с возможностью совмещения различных видов капитала: банковского, коммерческого, государственного, международного</w:t>
      </w:r>
      <w:r w:rsidRPr="00017C0D">
        <w:rPr>
          <w:rFonts w:ascii="Arial" w:hAnsi="Arial" w:cs="Arial"/>
          <w:sz w:val="28"/>
          <w:szCs w:val="28"/>
        </w:rPr>
        <w:t>.</w:t>
      </w:r>
    </w:p>
    <w:p w:rsidR="00B71A72" w:rsidRPr="00017C0D" w:rsidRDefault="00B71A72" w:rsidP="00B71A72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6</w:t>
      </w:r>
      <w:r w:rsidRPr="00017C0D">
        <w:rPr>
          <w:rFonts w:ascii="Arial" w:hAnsi="Arial" w:cs="Arial"/>
          <w:sz w:val="28"/>
          <w:szCs w:val="28"/>
        </w:rPr>
        <w:t>) смешанное финансирование - различные комбинации рассмотренных методов</w:t>
      </w:r>
      <w:r w:rsidRPr="00017C0D">
        <w:rPr>
          <w:rFonts w:ascii="Arial" w:hAnsi="Arial" w:cs="Arial"/>
          <w:sz w:val="28"/>
          <w:szCs w:val="28"/>
        </w:rPr>
        <w:t>.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 xml:space="preserve">В </w:t>
      </w:r>
      <w:r w:rsidR="00A0411A" w:rsidRPr="00017C0D">
        <w:rPr>
          <w:rFonts w:ascii="Arial" w:hAnsi="Arial" w:cs="Arial"/>
          <w:sz w:val="28"/>
          <w:szCs w:val="28"/>
        </w:rPr>
        <w:t xml:space="preserve">настоящее время </w:t>
      </w:r>
      <w:r w:rsidRPr="00017C0D">
        <w:rPr>
          <w:rFonts w:ascii="Arial" w:hAnsi="Arial" w:cs="Arial"/>
          <w:sz w:val="28"/>
          <w:szCs w:val="28"/>
        </w:rPr>
        <w:t>наибольшее распространение получили такие методы, как</w:t>
      </w:r>
      <w:r w:rsidR="00B71A72" w:rsidRPr="00017C0D">
        <w:rPr>
          <w:rFonts w:ascii="Arial" w:hAnsi="Arial" w:cs="Arial"/>
          <w:sz w:val="28"/>
          <w:szCs w:val="28"/>
        </w:rPr>
        <w:t xml:space="preserve"> самофинансирование, кредитное </w:t>
      </w:r>
      <w:r w:rsidRPr="00017C0D">
        <w:rPr>
          <w:rFonts w:ascii="Arial" w:hAnsi="Arial" w:cs="Arial"/>
          <w:sz w:val="28"/>
          <w:szCs w:val="28"/>
        </w:rPr>
        <w:t>и смешанное финансирование.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Самофинансирование предусматривает осуществление инвестирования за счет собственных средств. Разрешенные в настоящее время к применению методы начисления и использования амортизации в сочетании с изменениями законодательства в части использования</w:t>
      </w:r>
      <w:r w:rsidR="00A0411A" w:rsidRPr="00017C0D">
        <w:rPr>
          <w:rFonts w:ascii="Arial" w:hAnsi="Arial" w:cs="Arial"/>
          <w:sz w:val="28"/>
          <w:szCs w:val="28"/>
        </w:rPr>
        <w:t xml:space="preserve"> </w:t>
      </w:r>
      <w:r w:rsidRPr="00017C0D">
        <w:rPr>
          <w:rFonts w:ascii="Arial" w:hAnsi="Arial" w:cs="Arial"/>
          <w:sz w:val="28"/>
          <w:szCs w:val="28"/>
        </w:rPr>
        <w:t>прибыли для развития производства превращают самофинансирование в заметный источник финансирования инвестиционных проектов по обновлению и техническому перевооружению действующего производства. Самофинансирование используется, как правило, при реализации небольших инвестиционных проектов.</w:t>
      </w:r>
    </w:p>
    <w:p w:rsidR="00AE53DB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lastRenderedPageBreak/>
        <w:t xml:space="preserve">Величина чистой прибыли в части, направляемой на производственное развитие, как источник финансирования инвестиций зависит от многих факторов: объема реализации продукции, цены реализации единицы продукции, себестоимости единицы продукции, ставки налога на прибыль, политики распределения прибыли на потребление и развитие. 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 xml:space="preserve">Существенное влияние на способность к самофинансированию оказывают амортизационные отчисления. Их величина на предприятии зависит от первоначальной или восстановительной стоимости </w:t>
      </w:r>
      <w:r w:rsidR="00A0411A" w:rsidRPr="00017C0D">
        <w:rPr>
          <w:rFonts w:ascii="Arial" w:hAnsi="Arial" w:cs="Arial"/>
          <w:sz w:val="28"/>
          <w:szCs w:val="28"/>
        </w:rPr>
        <w:t>основных производственных фондов</w:t>
      </w:r>
      <w:r w:rsidRPr="00017C0D">
        <w:rPr>
          <w:rFonts w:ascii="Arial" w:hAnsi="Arial" w:cs="Arial"/>
          <w:sz w:val="28"/>
          <w:szCs w:val="28"/>
        </w:rPr>
        <w:t xml:space="preserve">, доли активной части </w:t>
      </w:r>
      <w:r w:rsidR="00A0411A" w:rsidRPr="00017C0D">
        <w:rPr>
          <w:rFonts w:ascii="Arial" w:hAnsi="Arial" w:cs="Arial"/>
          <w:sz w:val="28"/>
          <w:szCs w:val="28"/>
        </w:rPr>
        <w:t>основных производственных фондов</w:t>
      </w:r>
      <w:r w:rsidRPr="00017C0D">
        <w:rPr>
          <w:rFonts w:ascii="Arial" w:hAnsi="Arial" w:cs="Arial"/>
          <w:sz w:val="28"/>
          <w:szCs w:val="28"/>
        </w:rPr>
        <w:t xml:space="preserve">, возрастной структуры </w:t>
      </w:r>
      <w:r w:rsidR="00A0411A" w:rsidRPr="00017C0D">
        <w:rPr>
          <w:rFonts w:ascii="Arial" w:hAnsi="Arial" w:cs="Arial"/>
          <w:sz w:val="28"/>
          <w:szCs w:val="28"/>
        </w:rPr>
        <w:t>основных производственных фондов</w:t>
      </w:r>
      <w:r w:rsidRPr="00017C0D">
        <w:rPr>
          <w:rFonts w:ascii="Arial" w:hAnsi="Arial" w:cs="Arial"/>
          <w:sz w:val="28"/>
          <w:szCs w:val="28"/>
        </w:rPr>
        <w:t>.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Величина амортизационных отчислений, а значит, и способность к самофинансированию зависят от способа начисления амортизационных отчислений.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 xml:space="preserve">Привлечение капитала посредством </w:t>
      </w:r>
      <w:r w:rsidR="00AE53DB" w:rsidRPr="00017C0D">
        <w:rPr>
          <w:rFonts w:ascii="Arial" w:hAnsi="Arial" w:cs="Arial"/>
          <w:sz w:val="28"/>
          <w:szCs w:val="28"/>
        </w:rPr>
        <w:t xml:space="preserve">долевого участия, в частности, </w:t>
      </w:r>
      <w:r w:rsidRPr="00017C0D">
        <w:rPr>
          <w:rFonts w:ascii="Arial" w:hAnsi="Arial" w:cs="Arial"/>
          <w:sz w:val="28"/>
          <w:szCs w:val="28"/>
        </w:rPr>
        <w:t>эмиссии акций</w:t>
      </w:r>
      <w:r w:rsidR="00D505EC" w:rsidRPr="00017C0D">
        <w:rPr>
          <w:rFonts w:ascii="Arial" w:hAnsi="Arial" w:cs="Arial"/>
          <w:sz w:val="28"/>
          <w:szCs w:val="28"/>
        </w:rPr>
        <w:t>,</w:t>
      </w:r>
      <w:r w:rsidRPr="00017C0D">
        <w:rPr>
          <w:rFonts w:ascii="Arial" w:hAnsi="Arial" w:cs="Arial"/>
          <w:sz w:val="28"/>
          <w:szCs w:val="28"/>
        </w:rPr>
        <w:t xml:space="preserve"> как метод финансирования используется обычно для реализации крупномасштабных проектов.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Кредитное финансирование применяется, как правило, при инвестировании в быстрореализуемые и высокоэффективные проекты. Под кредитом понимается ссуда в денежной или товарной форме на условиях возвратности и обычно с уплатой процента.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Порядок предоставления, оформления и погашения долгосрочных кредитов регулируется правилами банков и кредитными договорами с заемщиками. В кредитном договоре предусматриваются: сумма выдаваемого кредита; срок и порядок его использования; процентные ставки и другие платежи по кредиту; формы обеспечения обязательств (залог имущества, поручительство и др.).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При установлении сроков и периодичности погашения долгосрочного кредита банк принимает во внимание окупаемость затрат за счет чистой прибыли заемщика, платежеспособность предприятия, уровень кредитного риска, возможности ускорения оборачиваемости кредитных ресурсов. Для получ</w:t>
      </w:r>
      <w:r w:rsidR="00017C0D" w:rsidRPr="00017C0D">
        <w:rPr>
          <w:rFonts w:ascii="Arial" w:hAnsi="Arial" w:cs="Arial"/>
          <w:sz w:val="28"/>
          <w:szCs w:val="28"/>
        </w:rPr>
        <w:t xml:space="preserve">ения долгосрочной ссуды заемщик обычно </w:t>
      </w:r>
      <w:r w:rsidRPr="00017C0D">
        <w:rPr>
          <w:rFonts w:ascii="Arial" w:hAnsi="Arial" w:cs="Arial"/>
          <w:sz w:val="28"/>
          <w:szCs w:val="28"/>
        </w:rPr>
        <w:t>представляет банку документы, характеризующие его платежеспособность: бухгалтерский баланс на последнюю отчетную дату, отчет о прибылях и убытках, технико-экономическое обоснование и расчеты к ним, подтверждающие эффективность и окупаемость затрат по кредитным мероприятиям и проектам.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 xml:space="preserve">Суммы полученных кредитов зачисляются на расчетный счет или специальные счета в банках, а также на валютный счет, если кредит получен в иностранной валюте. За счет долгосрочного кредита оплачиваются проектные и строительно-монтажные работы, поставки </w:t>
      </w:r>
      <w:r w:rsidRPr="00017C0D">
        <w:rPr>
          <w:rFonts w:ascii="Arial" w:hAnsi="Arial" w:cs="Arial"/>
          <w:sz w:val="28"/>
          <w:szCs w:val="28"/>
        </w:rPr>
        <w:lastRenderedPageBreak/>
        <w:t>оборудования и других необходимых ресурсов для строительства. Возврат заемных средств по вновь начинаемым стройкам и объектам осуществляется после ввода их в эксплуатацию в сроки, установленные в договоре. По объектам, строящимся на действующих предприятиях, возврат кредитов начинается до ввода в действие этих объектов. Проценты за пользование кредитными ресурсами начисляются с даты их предоставления в соответствии с заключенным договором между предприятием и банком.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Финансовый (инвестиционный) лизинг, являющийся разновидностью кредита, но в материально-вещественной форме, используется по той же причине, что и кредитное финансирование.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Лизинг можно рассматривать как метод финансирования в основные фонды, осуществляемый специальными компаниями, которые, приобретая для инвестора машины и оборудование, как бы кредитуют арендатора.</w:t>
      </w:r>
    </w:p>
    <w:p w:rsidR="00D156C4" w:rsidRPr="00017C0D" w:rsidRDefault="00D156C4" w:rsidP="00A0411A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17C0D">
        <w:rPr>
          <w:rFonts w:ascii="Arial" w:hAnsi="Arial" w:cs="Arial"/>
          <w:sz w:val="28"/>
          <w:szCs w:val="28"/>
        </w:rPr>
        <w:t>Смешанное финансирование основывается на различных комбинациях перечисленных методов и может быть использовано для всех форм инвестирования. Например, наряду с акционерным финансированием может использоваться кредитование. При смешанном финансировании необходимо контролировать долю собственных источников финансирования инвестиций.</w:t>
      </w:r>
    </w:p>
    <w:sectPr w:rsidR="00D156C4" w:rsidRPr="00017C0D" w:rsidSect="00017C0D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Arial Unicode MS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5F"/>
    <w:rsid w:val="00015391"/>
    <w:rsid w:val="00017C0D"/>
    <w:rsid w:val="00146E5F"/>
    <w:rsid w:val="00172E50"/>
    <w:rsid w:val="00197833"/>
    <w:rsid w:val="00260944"/>
    <w:rsid w:val="00295A2C"/>
    <w:rsid w:val="004105F1"/>
    <w:rsid w:val="00633319"/>
    <w:rsid w:val="007F5549"/>
    <w:rsid w:val="00811D4C"/>
    <w:rsid w:val="008D094D"/>
    <w:rsid w:val="008F548C"/>
    <w:rsid w:val="009F3F7A"/>
    <w:rsid w:val="00A0411A"/>
    <w:rsid w:val="00A30FB3"/>
    <w:rsid w:val="00A7635D"/>
    <w:rsid w:val="00AA7E06"/>
    <w:rsid w:val="00AE53DB"/>
    <w:rsid w:val="00B71A72"/>
    <w:rsid w:val="00C0377E"/>
    <w:rsid w:val="00CE7EA3"/>
    <w:rsid w:val="00D00A45"/>
    <w:rsid w:val="00D156C4"/>
    <w:rsid w:val="00D505EC"/>
    <w:rsid w:val="00D61F73"/>
    <w:rsid w:val="00DB5D00"/>
    <w:rsid w:val="00DB7B38"/>
    <w:rsid w:val="00DC3536"/>
    <w:rsid w:val="00E26162"/>
    <w:rsid w:val="00F06F08"/>
    <w:rsid w:val="00F33564"/>
    <w:rsid w:val="00F63C74"/>
    <w:rsid w:val="00F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Maxmudova</dc:creator>
  <cp:lastModifiedBy>Mahmud Hadjimetov</cp:lastModifiedBy>
  <cp:revision>3</cp:revision>
  <dcterms:created xsi:type="dcterms:W3CDTF">2018-09-17T09:54:00Z</dcterms:created>
  <dcterms:modified xsi:type="dcterms:W3CDTF">2018-09-17T09:54:00Z</dcterms:modified>
</cp:coreProperties>
</file>